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83265"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Arial" w:eastAsia="Times New Roman" w:hAnsi="Arial" w:cs="Arial"/>
          <w:b/>
          <w:bCs/>
          <w:color w:val="000000"/>
          <w:sz w:val="28"/>
          <w:szCs w:val="28"/>
        </w:rPr>
        <w:t>MISAPPLICATION OF PROVISIONS ON COMPUTATION OF TIME IN THE HIGH COURT (CIVIL PROCEDURE) RULES IN NIGERIAN COURTS  </w:t>
      </w:r>
    </w:p>
    <w:p w14:paraId="52022123"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Times New Roman" w:eastAsia="Times New Roman" w:hAnsi="Times New Roman" w:cs="Times New Roman"/>
          <w:color w:val="000000"/>
          <w:sz w:val="26"/>
          <w:szCs w:val="26"/>
        </w:rPr>
        <w:t>                                                             BY</w:t>
      </w:r>
    </w:p>
    <w:p w14:paraId="36BE0A64"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t xml:space="preserve">S.O. GIWA ESQ. </w:t>
      </w:r>
      <w:proofErr w:type="spellStart"/>
      <w:r w:rsidRPr="006175C7">
        <w:rPr>
          <w:rFonts w:ascii="Times New Roman" w:eastAsia="Times New Roman" w:hAnsi="Times New Roman" w:cs="Times New Roman"/>
          <w:i/>
          <w:iCs/>
          <w:color w:val="000000"/>
          <w:sz w:val="26"/>
          <w:szCs w:val="26"/>
        </w:rPr>
        <w:t>a.k.a</w:t>
      </w:r>
      <w:proofErr w:type="spellEnd"/>
      <w:r w:rsidRPr="006175C7">
        <w:rPr>
          <w:rFonts w:ascii="Times New Roman" w:eastAsia="Times New Roman" w:hAnsi="Times New Roman" w:cs="Times New Roman"/>
          <w:i/>
          <w:iCs/>
          <w:color w:val="000000"/>
          <w:sz w:val="26"/>
          <w:szCs w:val="26"/>
        </w:rPr>
        <w:t xml:space="preserve"> </w:t>
      </w:r>
      <w:proofErr w:type="spellStart"/>
      <w:r w:rsidRPr="006175C7">
        <w:rPr>
          <w:rFonts w:ascii="Times New Roman" w:eastAsia="Times New Roman" w:hAnsi="Times New Roman" w:cs="Times New Roman"/>
          <w:i/>
          <w:iCs/>
          <w:color w:val="000000"/>
          <w:sz w:val="26"/>
          <w:szCs w:val="26"/>
        </w:rPr>
        <w:t>pentalk</w:t>
      </w:r>
      <w:proofErr w:type="spellEnd"/>
      <w:r w:rsidRPr="006175C7">
        <w:rPr>
          <w:rFonts w:ascii="Times New Roman" w:eastAsia="Times New Roman" w:hAnsi="Times New Roman" w:cs="Times New Roman"/>
          <w:i/>
          <w:iCs/>
          <w:color w:val="000000"/>
          <w:sz w:val="26"/>
          <w:szCs w:val="26"/>
        </w:rPr>
        <w:t xml:space="preserve"> </w:t>
      </w:r>
      <w:r w:rsidRPr="006175C7">
        <w:rPr>
          <w:rFonts w:ascii="Times New Roman" w:eastAsia="Times New Roman" w:hAnsi="Times New Roman" w:cs="Times New Roman"/>
          <w:color w:val="000000"/>
          <w:sz w:val="26"/>
          <w:szCs w:val="26"/>
        </w:rPr>
        <w:t xml:space="preserve">(Ibadan based Legal Practitioner)  </w:t>
      </w: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r>
      <w:r w:rsidRPr="006175C7">
        <w:rPr>
          <w:rFonts w:ascii="Times New Roman" w:eastAsia="Times New Roman" w:hAnsi="Times New Roman" w:cs="Times New Roman"/>
          <w:color w:val="000000"/>
          <w:sz w:val="26"/>
          <w:szCs w:val="26"/>
        </w:rPr>
        <w:tab/>
      </w:r>
      <w:hyperlink r:id="rId5" w:history="1">
        <w:r w:rsidRPr="006175C7">
          <w:rPr>
            <w:rFonts w:ascii="Arial" w:eastAsia="Times New Roman" w:hAnsi="Arial" w:cs="Arial"/>
            <w:b/>
            <w:bCs/>
            <w:color w:val="0000FF"/>
            <w:sz w:val="28"/>
            <w:szCs w:val="28"/>
            <w:u w:val="single"/>
          </w:rPr>
          <w:t>giwa_pentalk@yahoo.com</w:t>
        </w:r>
      </w:hyperlink>
      <w:r w:rsidRPr="006175C7">
        <w:rPr>
          <w:rFonts w:ascii="Arial" w:eastAsia="Times New Roman" w:hAnsi="Arial" w:cs="Arial"/>
          <w:b/>
          <w:bCs/>
          <w:color w:val="000000"/>
          <w:sz w:val="28"/>
          <w:szCs w:val="28"/>
        </w:rPr>
        <w:t xml:space="preserve"> 08035224192</w:t>
      </w:r>
    </w:p>
    <w:p w14:paraId="33A16D87"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52F3ADA8"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Filing an application for an order extending appointed time for doing any act under the Rules of Court or act ordered by a judge to be done by a litigant within a prescribed time is no longer an obscure procedure in the practice of law.</w:t>
      </w:r>
    </w:p>
    <w:p w14:paraId="6959E929"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952AFA6"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Many litigants through their lawyers often afford themselves of the provisions of Order 44 of the Rules which allow a party to a suit who is still desirous to do the act outside the prescribed time. How correct do the litigants and their lawyers apply the application of the provisions of Order 44 of the High Court (Civil Procedure) Rules applicable in South West States viz: Ogun; Oyo; Ondo; Ekiti; Osun; and Lagos States? </w:t>
      </w:r>
    </w:p>
    <w:p w14:paraId="34294068"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2D98AC1A"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worth saying that many litigants through their lawyers do not only invoke on the provision of order 44 rule 4 of the Rules of Court which empowers a Judge to extend or adjourn the time for doing any act or taking any proceedings as the Judge deems fit either before or after the expiration of the time appointed by the Rules of Court or by any judgment or order of the court upon the payment of prescribed default fees under the Rules of Court but they also often afford themselves of the provision of order 44 rule 4 of the Rules of Court to seek leave for an order deeming the process filed and served outside the prescribed time as properly filed and served. Are there provisions in the Rules of Court empowering the Judge to deem the process filed and served outside the prescribed time as properly filed and served?</w:t>
      </w:r>
    </w:p>
    <w:p w14:paraId="550F1E83"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401262DA"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fundamentally important to say that the invocation on the provisions of order 44 of the Rules of Court by many litigants through their lawyers is made possible by the provision of order 39 of the Rules of Court which provide for filing an application.</w:t>
      </w:r>
    </w:p>
    <w:p w14:paraId="1C67282E"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C7D1E2A"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xml:space="preserve">It is against the background of the use of the provisions of order 44 of the High Court (Civil Procedure) Rules applicable in South West States viz: Ogun; Oyo; Ondo; Ekiti; Osun; and Lagos States by some </w:t>
      </w:r>
      <w:r w:rsidRPr="006175C7">
        <w:rPr>
          <w:rFonts w:ascii="Bookman Old Style" w:eastAsia="Times New Roman" w:hAnsi="Bookman Old Style" w:cs="Times New Roman"/>
          <w:color w:val="000000"/>
          <w:sz w:val="28"/>
          <w:szCs w:val="28"/>
        </w:rPr>
        <w:lastRenderedPageBreak/>
        <w:t>litigants through their lawyers in those State High Courts that this piece is written. </w:t>
      </w:r>
    </w:p>
    <w:p w14:paraId="26FB069A"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07391784"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Combing through the provisions of the Rules of the High Court (Civil Procedure) Rules applicable in South West States viz: Ogun; Oyo; Ondo; Ekiti; Osun; and Lagos States evinced that there is no single provision in the Rules of Court empowering the Judge to deem the process filed and served outside the prescribed time as properly filed and served Rules of Court in those States and yet many litigants through their lawyers do seek such relief in their applications. What a misapplication of the provisions of order 44 of the Rules of Court!</w:t>
      </w:r>
    </w:p>
    <w:p w14:paraId="3447E710"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45782EEC"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equally interesting to say that some lawyers are of the stand that time starts to run for a party who receives a process filed by the other party outside the prescribed time by the Rules of Court on the date or the following day the said process was filed with an application seeking an order extending the said appointed time and an order deeming the said process filed and served.</w:t>
      </w:r>
    </w:p>
    <w:p w14:paraId="2EACF2F8"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BF1E8C3"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xml:space="preserve">By way of illustration, the lawyers’ position that the time starts to run from the day of service of the said process with the application seeking order for extension of the appointed time by the Rules is that if Mr. A, a defendant, whose appointed time within which he is to file his Statement of </w:t>
      </w:r>
      <w:proofErr w:type="spellStart"/>
      <w:r w:rsidRPr="006175C7">
        <w:rPr>
          <w:rFonts w:ascii="Bookman Old Style" w:eastAsia="Times New Roman" w:hAnsi="Bookman Old Style" w:cs="Times New Roman"/>
          <w:color w:val="000000"/>
          <w:sz w:val="28"/>
          <w:szCs w:val="28"/>
        </w:rPr>
        <w:t>Defence</w:t>
      </w:r>
      <w:proofErr w:type="spellEnd"/>
      <w:r w:rsidRPr="006175C7">
        <w:rPr>
          <w:rFonts w:ascii="Bookman Old Style" w:eastAsia="Times New Roman" w:hAnsi="Bookman Old Style" w:cs="Times New Roman"/>
          <w:color w:val="000000"/>
          <w:sz w:val="28"/>
          <w:szCs w:val="28"/>
        </w:rPr>
        <w:t xml:space="preserve"> elapsed on 23</w:t>
      </w:r>
      <w:r w:rsidRPr="006175C7">
        <w:rPr>
          <w:rFonts w:ascii="Bookman Old Style" w:eastAsia="Times New Roman" w:hAnsi="Bookman Old Style" w:cs="Times New Roman"/>
          <w:color w:val="000000"/>
          <w:sz w:val="17"/>
          <w:szCs w:val="17"/>
          <w:vertAlign w:val="superscript"/>
        </w:rPr>
        <w:t>rd</w:t>
      </w:r>
      <w:r w:rsidRPr="006175C7">
        <w:rPr>
          <w:rFonts w:ascii="Bookman Old Style" w:eastAsia="Times New Roman" w:hAnsi="Bookman Old Style" w:cs="Times New Roman"/>
          <w:color w:val="000000"/>
          <w:sz w:val="28"/>
          <w:szCs w:val="28"/>
        </w:rPr>
        <w:t xml:space="preserve"> April, 2019 and upon filing his Statement of </w:t>
      </w:r>
      <w:proofErr w:type="spellStart"/>
      <w:r w:rsidRPr="006175C7">
        <w:rPr>
          <w:rFonts w:ascii="Bookman Old Style" w:eastAsia="Times New Roman" w:hAnsi="Bookman Old Style" w:cs="Times New Roman"/>
          <w:color w:val="000000"/>
          <w:sz w:val="28"/>
          <w:szCs w:val="28"/>
        </w:rPr>
        <w:t>Defence</w:t>
      </w:r>
      <w:proofErr w:type="spellEnd"/>
      <w:r w:rsidRPr="006175C7">
        <w:rPr>
          <w:rFonts w:ascii="Bookman Old Style" w:eastAsia="Times New Roman" w:hAnsi="Bookman Old Style" w:cs="Times New Roman"/>
          <w:color w:val="000000"/>
          <w:sz w:val="28"/>
          <w:szCs w:val="28"/>
        </w:rPr>
        <w:t xml:space="preserve"> on 13</w:t>
      </w:r>
      <w:r w:rsidRPr="006175C7">
        <w:rPr>
          <w:rFonts w:ascii="Bookman Old Style" w:eastAsia="Times New Roman" w:hAnsi="Bookman Old Style" w:cs="Times New Roman"/>
          <w:color w:val="000000"/>
          <w:sz w:val="17"/>
          <w:szCs w:val="17"/>
          <w:vertAlign w:val="superscript"/>
        </w:rPr>
        <w:t>th</w:t>
      </w:r>
      <w:r w:rsidRPr="006175C7">
        <w:rPr>
          <w:rFonts w:ascii="Bookman Old Style" w:eastAsia="Times New Roman" w:hAnsi="Bookman Old Style" w:cs="Times New Roman"/>
          <w:color w:val="000000"/>
          <w:sz w:val="28"/>
          <w:szCs w:val="28"/>
        </w:rPr>
        <w:t xml:space="preserve"> June, 2019 with an application seeking order for extension of time served his Statement of </w:t>
      </w:r>
      <w:proofErr w:type="spellStart"/>
      <w:r w:rsidRPr="006175C7">
        <w:rPr>
          <w:rFonts w:ascii="Bookman Old Style" w:eastAsia="Times New Roman" w:hAnsi="Bookman Old Style" w:cs="Times New Roman"/>
          <w:color w:val="000000"/>
          <w:sz w:val="28"/>
          <w:szCs w:val="28"/>
        </w:rPr>
        <w:t>Defence</w:t>
      </w:r>
      <w:proofErr w:type="spellEnd"/>
      <w:r w:rsidRPr="006175C7">
        <w:rPr>
          <w:rFonts w:ascii="Bookman Old Style" w:eastAsia="Times New Roman" w:hAnsi="Bookman Old Style" w:cs="Times New Roman"/>
          <w:color w:val="000000"/>
          <w:sz w:val="28"/>
          <w:szCs w:val="28"/>
        </w:rPr>
        <w:t xml:space="preserve"> on the same 13</w:t>
      </w:r>
      <w:r w:rsidRPr="006175C7">
        <w:rPr>
          <w:rFonts w:ascii="Bookman Old Style" w:eastAsia="Times New Roman" w:hAnsi="Bookman Old Style" w:cs="Times New Roman"/>
          <w:color w:val="000000"/>
          <w:sz w:val="17"/>
          <w:szCs w:val="17"/>
          <w:vertAlign w:val="superscript"/>
        </w:rPr>
        <w:t>th</w:t>
      </w:r>
      <w:r w:rsidRPr="006175C7">
        <w:rPr>
          <w:rFonts w:ascii="Bookman Old Style" w:eastAsia="Times New Roman" w:hAnsi="Bookman Old Style" w:cs="Times New Roman"/>
          <w:color w:val="000000"/>
          <w:sz w:val="28"/>
          <w:szCs w:val="28"/>
        </w:rPr>
        <w:t xml:space="preserve"> day of June, 2019 on Mr. B, a Claimant, who has fourteen (14)days or thirty (30)days as the case may be within which he is to file his reply to Mr. A’s Statement of </w:t>
      </w:r>
      <w:proofErr w:type="spellStart"/>
      <w:r w:rsidRPr="006175C7">
        <w:rPr>
          <w:rFonts w:ascii="Bookman Old Style" w:eastAsia="Times New Roman" w:hAnsi="Bookman Old Style" w:cs="Times New Roman"/>
          <w:color w:val="000000"/>
          <w:sz w:val="28"/>
          <w:szCs w:val="28"/>
        </w:rPr>
        <w:t>Defence</w:t>
      </w:r>
      <w:proofErr w:type="spellEnd"/>
      <w:r w:rsidRPr="006175C7">
        <w:rPr>
          <w:rFonts w:ascii="Bookman Old Style" w:eastAsia="Times New Roman" w:hAnsi="Bookman Old Style" w:cs="Times New Roman"/>
          <w:color w:val="000000"/>
          <w:sz w:val="28"/>
          <w:szCs w:val="28"/>
        </w:rPr>
        <w:t>, Mr. B’s time to file his reply would start to run from that 13</w:t>
      </w:r>
      <w:r w:rsidRPr="006175C7">
        <w:rPr>
          <w:rFonts w:ascii="Bookman Old Style" w:eastAsia="Times New Roman" w:hAnsi="Bookman Old Style" w:cs="Times New Roman"/>
          <w:color w:val="000000"/>
          <w:sz w:val="17"/>
          <w:szCs w:val="17"/>
          <w:vertAlign w:val="superscript"/>
        </w:rPr>
        <w:t>th</w:t>
      </w:r>
      <w:r w:rsidRPr="006175C7">
        <w:rPr>
          <w:rFonts w:ascii="Bookman Old Style" w:eastAsia="Times New Roman" w:hAnsi="Bookman Old Style" w:cs="Times New Roman"/>
          <w:color w:val="000000"/>
          <w:sz w:val="28"/>
          <w:szCs w:val="28"/>
        </w:rPr>
        <w:t xml:space="preserve"> day of June, 2019 that he receives Mr. A’s Statement of </w:t>
      </w:r>
      <w:proofErr w:type="spellStart"/>
      <w:r w:rsidRPr="006175C7">
        <w:rPr>
          <w:rFonts w:ascii="Bookman Old Style" w:eastAsia="Times New Roman" w:hAnsi="Bookman Old Style" w:cs="Times New Roman"/>
          <w:color w:val="000000"/>
          <w:sz w:val="28"/>
          <w:szCs w:val="28"/>
        </w:rPr>
        <w:t>Defence</w:t>
      </w:r>
      <w:proofErr w:type="spellEnd"/>
      <w:r w:rsidRPr="006175C7">
        <w:rPr>
          <w:rFonts w:ascii="Bookman Old Style" w:eastAsia="Times New Roman" w:hAnsi="Bookman Old Style" w:cs="Times New Roman"/>
          <w:color w:val="000000"/>
          <w:sz w:val="28"/>
          <w:szCs w:val="28"/>
        </w:rPr>
        <w:t>. </w:t>
      </w:r>
    </w:p>
    <w:p w14:paraId="4A7B646B"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7AC84611"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Some lawyers differ with the above stand and hold that time would begin to run whenever the court grants the application for an order extending the appointed time and deeming order.</w:t>
      </w:r>
    </w:p>
    <w:p w14:paraId="7034FB46"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B98AB6F"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xml:space="preserve">Flowing from the position that the time would begin to run whenever the court grants the application for an order extending the appointed time and deeming order is the deductible fact that there is dire need to have recourse to the provisions on the computation of time under </w:t>
      </w:r>
      <w:r w:rsidRPr="006175C7">
        <w:rPr>
          <w:rFonts w:ascii="Bookman Old Style" w:eastAsia="Times New Roman" w:hAnsi="Bookman Old Style" w:cs="Times New Roman"/>
          <w:color w:val="000000"/>
          <w:sz w:val="28"/>
          <w:szCs w:val="28"/>
        </w:rPr>
        <w:lastRenderedPageBreak/>
        <w:t>the Rules of Court with a view to finding out which of the positions is the correct application of the provisions of the rules on computation of time.</w:t>
      </w:r>
    </w:p>
    <w:p w14:paraId="6AF596AA"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6AA1F3B0"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Recourse to the provisions on computation of time provided under the High Court (Civil Procedure) Rules in Ondo, Ogun, Oyo, Osun and Ekiti States evinced the provisions of order 44 which go thus:</w:t>
      </w:r>
    </w:p>
    <w:p w14:paraId="620E918F" w14:textId="77777777" w:rsidR="006175C7" w:rsidRPr="006175C7" w:rsidRDefault="006175C7" w:rsidP="006175C7">
      <w:pPr>
        <w:numPr>
          <w:ilvl w:val="0"/>
          <w:numId w:val="1"/>
        </w:numPr>
        <w:spacing w:after="0" w:line="240" w:lineRule="auto"/>
        <w:jc w:val="both"/>
        <w:textAlignment w:val="baseline"/>
        <w:rPr>
          <w:rFonts w:ascii="Bookman Old Style" w:eastAsia="Times New Roman" w:hAnsi="Bookman Old Style" w:cs="Times New Roman"/>
          <w:b/>
          <w:bCs/>
          <w:i/>
          <w:iCs/>
          <w:color w:val="000000"/>
          <w:sz w:val="26"/>
          <w:szCs w:val="26"/>
        </w:rPr>
      </w:pPr>
      <w:r w:rsidRPr="006175C7">
        <w:rPr>
          <w:rFonts w:ascii="Bookman Old Style" w:eastAsia="Times New Roman" w:hAnsi="Bookman Old Style" w:cs="Times New Roman"/>
          <w:b/>
          <w:bCs/>
          <w:i/>
          <w:iCs/>
          <w:color w:val="000000"/>
          <w:sz w:val="26"/>
          <w:szCs w:val="26"/>
        </w:rPr>
        <w:t>Where by any law or order made by a Judge a time is appointed or limited for the doing of any act, the period shall be reckoned:</w:t>
      </w:r>
    </w:p>
    <w:p w14:paraId="63F306FE" w14:textId="77777777" w:rsidR="006175C7" w:rsidRPr="006175C7" w:rsidRDefault="006175C7" w:rsidP="006175C7">
      <w:pPr>
        <w:numPr>
          <w:ilvl w:val="0"/>
          <w:numId w:val="2"/>
        </w:numPr>
        <w:spacing w:after="0" w:line="240" w:lineRule="auto"/>
        <w:jc w:val="both"/>
        <w:textAlignment w:val="baseline"/>
        <w:rPr>
          <w:rFonts w:ascii="Bookman Old Style" w:eastAsia="Times New Roman" w:hAnsi="Bookman Old Style" w:cs="Times New Roman"/>
          <w:b/>
          <w:bCs/>
          <w:i/>
          <w:iCs/>
          <w:color w:val="000000"/>
          <w:sz w:val="26"/>
          <w:szCs w:val="26"/>
        </w:rPr>
      </w:pPr>
      <w:r w:rsidRPr="006175C7">
        <w:rPr>
          <w:rFonts w:ascii="Bookman Old Style" w:eastAsia="Times New Roman" w:hAnsi="Bookman Old Style" w:cs="Times New Roman"/>
          <w:b/>
          <w:bCs/>
          <w:i/>
          <w:iCs/>
          <w:color w:val="000000"/>
          <w:sz w:val="26"/>
          <w:szCs w:val="26"/>
        </w:rPr>
        <w:t> as excluding the day on which the order is made or on which the event occurs</w:t>
      </w:r>
    </w:p>
    <w:p w14:paraId="7D603BA0" w14:textId="77777777" w:rsidR="006175C7" w:rsidRPr="006175C7" w:rsidRDefault="006175C7" w:rsidP="006175C7">
      <w:pPr>
        <w:numPr>
          <w:ilvl w:val="0"/>
          <w:numId w:val="2"/>
        </w:numPr>
        <w:spacing w:after="0" w:line="240" w:lineRule="auto"/>
        <w:jc w:val="both"/>
        <w:textAlignment w:val="baseline"/>
        <w:rPr>
          <w:rFonts w:ascii="Bookman Old Style" w:eastAsia="Times New Roman" w:hAnsi="Bookman Old Style" w:cs="Times New Roman"/>
          <w:b/>
          <w:bCs/>
          <w:i/>
          <w:iCs/>
          <w:color w:val="000000"/>
          <w:sz w:val="26"/>
          <w:szCs w:val="26"/>
        </w:rPr>
      </w:pPr>
      <w:r w:rsidRPr="006175C7">
        <w:rPr>
          <w:rFonts w:ascii="Bookman Old Style" w:eastAsia="Times New Roman" w:hAnsi="Bookman Old Style" w:cs="Times New Roman"/>
          <w:b/>
          <w:bCs/>
          <w:i/>
          <w:iCs/>
          <w:color w:val="000000"/>
          <w:sz w:val="26"/>
          <w:szCs w:val="26"/>
        </w:rPr>
        <w:t>where the last day of the period is a holiday the time shall continue until the end of the next day following which is not a public holiday;</w:t>
      </w:r>
    </w:p>
    <w:p w14:paraId="6FDC64E7" w14:textId="77777777" w:rsidR="006175C7" w:rsidRPr="006175C7" w:rsidRDefault="006175C7" w:rsidP="006175C7">
      <w:pPr>
        <w:numPr>
          <w:ilvl w:val="0"/>
          <w:numId w:val="2"/>
        </w:numPr>
        <w:spacing w:after="0" w:line="240" w:lineRule="auto"/>
        <w:jc w:val="both"/>
        <w:textAlignment w:val="baseline"/>
        <w:rPr>
          <w:rFonts w:ascii="Bookman Old Style" w:eastAsia="Times New Roman" w:hAnsi="Bookman Old Style" w:cs="Times New Roman"/>
          <w:b/>
          <w:bCs/>
          <w:i/>
          <w:iCs/>
          <w:color w:val="000000"/>
          <w:sz w:val="26"/>
          <w:szCs w:val="26"/>
        </w:rPr>
      </w:pPr>
      <w:r w:rsidRPr="006175C7">
        <w:rPr>
          <w:rFonts w:ascii="Bookman Old Style" w:eastAsia="Times New Roman" w:hAnsi="Bookman Old Style" w:cs="Times New Roman"/>
          <w:b/>
          <w:bCs/>
          <w:i/>
          <w:iCs/>
          <w:color w:val="000000"/>
          <w:sz w:val="26"/>
          <w:szCs w:val="26"/>
        </w:rPr>
        <w:t>where the act is required to be done within a period which does not exceed 6 days, holidays shall be left out of account in computing the period</w:t>
      </w:r>
    </w:p>
    <w:p w14:paraId="7517F4D1" w14:textId="77777777" w:rsidR="006175C7" w:rsidRPr="006175C7" w:rsidRDefault="006175C7" w:rsidP="006175C7">
      <w:pPr>
        <w:numPr>
          <w:ilvl w:val="0"/>
          <w:numId w:val="3"/>
        </w:numPr>
        <w:spacing w:after="0" w:line="240" w:lineRule="auto"/>
        <w:jc w:val="both"/>
        <w:textAlignment w:val="baseline"/>
        <w:rPr>
          <w:rFonts w:ascii="Bookman Old Style" w:eastAsia="Times New Roman" w:hAnsi="Bookman Old Style" w:cs="Times New Roman"/>
          <w:b/>
          <w:bCs/>
          <w:i/>
          <w:iCs/>
          <w:color w:val="000000"/>
          <w:sz w:val="26"/>
          <w:szCs w:val="26"/>
        </w:rPr>
      </w:pPr>
      <w:r w:rsidRPr="006175C7">
        <w:rPr>
          <w:rFonts w:ascii="Bookman Old Style" w:eastAsia="Times New Roman" w:hAnsi="Bookman Old Style" w:cs="Times New Roman"/>
          <w:b/>
          <w:bCs/>
          <w:i/>
          <w:iCs/>
          <w:color w:val="000000"/>
          <w:sz w:val="26"/>
          <w:szCs w:val="26"/>
        </w:rPr>
        <w:t> In this order, holiday means a day which is a Sunday or a public holiday</w:t>
      </w:r>
      <w:r w:rsidRPr="006175C7">
        <w:rPr>
          <w:rFonts w:ascii="Bookman Old Style" w:eastAsia="Times New Roman" w:hAnsi="Bookman Old Style" w:cs="Times New Roman"/>
          <w:color w:val="000000"/>
          <w:sz w:val="26"/>
          <w:szCs w:val="26"/>
        </w:rPr>
        <w:t> </w:t>
      </w:r>
    </w:p>
    <w:p w14:paraId="3317DC5B"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56D4E39"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Flowing from the above quoted provisions on computation of time provided under the High Court (Civil Procedure) Rules in Ondo, Ogun, Oyo, Osun and Ekiti States is a deductible fact that the introductory provision of order 1 on computation of time evinced that the above provisions relate to computation of time appointed or limited by any law or order for doing any act.</w:t>
      </w:r>
    </w:p>
    <w:p w14:paraId="3D5EBF44"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76DC7661"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xml:space="preserve">It is the writer’s stand that using the phrase in the introductory provision </w:t>
      </w:r>
      <w:r w:rsidRPr="006175C7">
        <w:rPr>
          <w:rFonts w:ascii="Bookman Old Style" w:eastAsia="Times New Roman" w:hAnsi="Bookman Old Style" w:cs="Times New Roman"/>
          <w:b/>
          <w:bCs/>
          <w:i/>
          <w:iCs/>
          <w:color w:val="000000"/>
          <w:sz w:val="28"/>
          <w:szCs w:val="28"/>
        </w:rPr>
        <w:t>‘where by any law or order made by a Judge</w:t>
      </w:r>
      <w:r w:rsidRPr="006175C7">
        <w:rPr>
          <w:rFonts w:ascii="Bookman Old Style" w:eastAsia="Times New Roman" w:hAnsi="Bookman Old Style" w:cs="Times New Roman"/>
          <w:color w:val="000000"/>
          <w:sz w:val="28"/>
          <w:szCs w:val="28"/>
        </w:rPr>
        <w:t>’ as basis for the argument that time would begin to run whenever the court grants the application for an order extending the appointed time and deeming order is a misapplication of the provision of the said rule.</w:t>
      </w:r>
    </w:p>
    <w:p w14:paraId="02B66FE9"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2BEFFD1C"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crystal clear from the provision ‘</w:t>
      </w:r>
      <w:r w:rsidRPr="006175C7">
        <w:rPr>
          <w:rFonts w:ascii="Bookman Old Style" w:eastAsia="Times New Roman" w:hAnsi="Bookman Old Style" w:cs="Times New Roman"/>
          <w:i/>
          <w:iCs/>
          <w:color w:val="000000"/>
          <w:sz w:val="28"/>
          <w:szCs w:val="28"/>
        </w:rPr>
        <w:t>where by any law or order made by a Judge a time is appointed or limited for the doing of any act</w:t>
      </w:r>
      <w:r w:rsidRPr="006175C7">
        <w:rPr>
          <w:rFonts w:ascii="Bookman Old Style" w:eastAsia="Times New Roman" w:hAnsi="Bookman Old Style" w:cs="Times New Roman"/>
          <w:color w:val="000000"/>
          <w:sz w:val="28"/>
          <w:szCs w:val="28"/>
        </w:rPr>
        <w:t>’ that the law or order alluded to is the law or order wherein a time is appointed or limited for the doing of any act and not order deeming any act done as done.</w:t>
      </w:r>
    </w:p>
    <w:p w14:paraId="30CDEF3F"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676006B8"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xml:space="preserve">It is the writer’s firm stand that there is no provision for computing time from the grant of an order deeming act done outside prescribed </w:t>
      </w:r>
      <w:r w:rsidRPr="006175C7">
        <w:rPr>
          <w:rFonts w:ascii="Bookman Old Style" w:eastAsia="Times New Roman" w:hAnsi="Bookman Old Style" w:cs="Times New Roman"/>
          <w:color w:val="000000"/>
          <w:sz w:val="28"/>
          <w:szCs w:val="28"/>
        </w:rPr>
        <w:lastRenderedPageBreak/>
        <w:t>time as done in the High Court (Civil Procedure) Rules in Ondo, Ogun, Oyo, Osun and Ekiti States and reckoning time from the grant of the deeming order to do any act required by the Rules of Court is nothing but misapplication of the provisions of the Rules of Court</w:t>
      </w:r>
    </w:p>
    <w:p w14:paraId="69EEC1F1"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also a ubiquitous practice of many lawyers leaving out Saturdays and holidays defined under the provision of Order 44 rule 2 of the High Court (Civil Procedure) Rules in Ondo, Ogun, Oyo, Osun and Ekiti States in the computation of time for doing an act which exceeds six (6) days and this exclusion is not known to the provisions of the High Court (Civil Procedure) Rules in Ondo, Ogun, Oyo, Osun and Ekiti States providing that Saturdays and holidays should be left out of account in computing the period.</w:t>
      </w:r>
    </w:p>
    <w:p w14:paraId="0793397C"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610F1FC"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crystal clear from the provisions of order 44 (1) (</w:t>
      </w:r>
      <w:proofErr w:type="spellStart"/>
      <w:r w:rsidRPr="006175C7">
        <w:rPr>
          <w:rFonts w:ascii="Bookman Old Style" w:eastAsia="Times New Roman" w:hAnsi="Bookman Old Style" w:cs="Times New Roman"/>
          <w:color w:val="000000"/>
          <w:sz w:val="28"/>
          <w:szCs w:val="28"/>
        </w:rPr>
        <w:t>a&amp;b</w:t>
      </w:r>
      <w:proofErr w:type="spellEnd"/>
      <w:r w:rsidRPr="006175C7">
        <w:rPr>
          <w:rFonts w:ascii="Bookman Old Style" w:eastAsia="Times New Roman" w:hAnsi="Bookman Old Style" w:cs="Times New Roman"/>
          <w:color w:val="000000"/>
          <w:sz w:val="28"/>
          <w:szCs w:val="28"/>
        </w:rPr>
        <w:t>) of the High Court (Civil Procedure) Rules in Ondo, Ogun, Oyo, Osun and Ekiti States that the day on which the order appointing time is made or on which the event occurs and the last day of the period which falls on holiday as defined under order 44 rule 2 of the Rules of Court shall be excluded from reckoning the time within which act provided under the Rules of Court is to be done.</w:t>
      </w:r>
    </w:p>
    <w:p w14:paraId="43202345"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42F5D5EC"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It is the writer’s stand that the provision of Order 44 rule 1(c) of the High Court (Civil Procedure) Rules in Ondo, Ogun, Oyo, Osun and Ekiti States which many lawyers used to hinge on for such computation of exclusion of Saturdays and holidays defined under the provision of Order 44 rule 2 of the High Court (Civil Procedure) Rules in Ondo, Ogun, Oyo, Osun and Ekiti States in the computation of time for doing an act which exceeds six (6) days is far from the provision of Order 44 rule 1(c) of the said Rules of Court and it is a gross misapplication of the provisions on computation of time in the High Court (Civil Procedure) Rules in those States. For easy reference, the provision of Order 44 rule 1 (c) is herein-under reproduced:</w:t>
      </w:r>
    </w:p>
    <w:p w14:paraId="6C1C9FFD"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t>  </w:t>
      </w:r>
    </w:p>
    <w:p w14:paraId="2132A446" w14:textId="77777777" w:rsidR="006175C7" w:rsidRPr="006175C7" w:rsidRDefault="006175C7" w:rsidP="006175C7">
      <w:pPr>
        <w:numPr>
          <w:ilvl w:val="0"/>
          <w:numId w:val="4"/>
        </w:numPr>
        <w:spacing w:after="0" w:line="240" w:lineRule="auto"/>
        <w:ind w:left="1080"/>
        <w:jc w:val="both"/>
        <w:textAlignment w:val="baseline"/>
        <w:rPr>
          <w:rFonts w:ascii="Bookman Old Style" w:eastAsia="Times New Roman" w:hAnsi="Bookman Old Style" w:cs="Times New Roman"/>
          <w:b/>
          <w:bCs/>
          <w:i/>
          <w:iCs/>
          <w:color w:val="000000"/>
          <w:sz w:val="28"/>
          <w:szCs w:val="28"/>
        </w:rPr>
      </w:pPr>
      <w:r w:rsidRPr="006175C7">
        <w:rPr>
          <w:rFonts w:ascii="Bookman Old Style" w:eastAsia="Times New Roman" w:hAnsi="Bookman Old Style" w:cs="Times New Roman"/>
          <w:b/>
          <w:bCs/>
          <w:i/>
          <w:iCs/>
          <w:color w:val="000000"/>
          <w:sz w:val="28"/>
          <w:szCs w:val="28"/>
        </w:rPr>
        <w:t>where the act is required to be done within a period which does not exceed 6 days, holidays shall be left out of account in computing the period</w:t>
      </w:r>
    </w:p>
    <w:p w14:paraId="2ED4D28B" w14:textId="77777777" w:rsidR="006175C7" w:rsidRPr="006175C7" w:rsidRDefault="006175C7" w:rsidP="006175C7">
      <w:pPr>
        <w:spacing w:after="0" w:line="240" w:lineRule="auto"/>
        <w:rPr>
          <w:rFonts w:ascii="Times New Roman" w:eastAsia="Times New Roman" w:hAnsi="Times New Roman" w:cs="Times New Roman"/>
          <w:sz w:val="24"/>
          <w:szCs w:val="24"/>
        </w:rPr>
      </w:pPr>
    </w:p>
    <w:p w14:paraId="359DF26B" w14:textId="77777777" w:rsidR="006175C7" w:rsidRPr="006175C7" w:rsidRDefault="006175C7" w:rsidP="006175C7">
      <w:pPr>
        <w:spacing w:after="0" w:line="240" w:lineRule="auto"/>
        <w:jc w:val="both"/>
        <w:rPr>
          <w:rFonts w:ascii="Times New Roman" w:eastAsia="Times New Roman" w:hAnsi="Times New Roman" w:cs="Times New Roman"/>
          <w:sz w:val="24"/>
          <w:szCs w:val="24"/>
        </w:rPr>
      </w:pPr>
      <w:r w:rsidRPr="006175C7">
        <w:rPr>
          <w:rFonts w:ascii="Bookman Old Style" w:eastAsia="Times New Roman" w:hAnsi="Bookman Old Style" w:cs="Times New Roman"/>
          <w:color w:val="000000"/>
          <w:sz w:val="28"/>
          <w:szCs w:val="28"/>
        </w:rPr>
        <w:lastRenderedPageBreak/>
        <w:t>It is hereby recommended that since the Rules of Court are not only made as a roadmap for steering parties’ cases through trial and beyond provided in a set of rules to govern business before the court on procedural matters which set out procedural pathways or guidelines for the conduct of litigation in order to allow the business of the courts to be carried on in an orderly manner including guidelines for each step which parties are to follow in the litigation process and the prescribed time within which parties are to take the step, strict compliance with the provisions therein must be accorded to the Rules. Thus, the Rules of Court are not made for fun but to be obeyed and it must be obeyed.</w:t>
      </w:r>
    </w:p>
    <w:p w14:paraId="24C4E64F"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6256"/>
    <w:multiLevelType w:val="multilevel"/>
    <w:tmpl w:val="710EA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B2481"/>
    <w:multiLevelType w:val="multilevel"/>
    <w:tmpl w:val="5856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FB457C"/>
    <w:multiLevelType w:val="hybridMultilevel"/>
    <w:tmpl w:val="AC7C7B9A"/>
    <w:lvl w:ilvl="0" w:tplc="3238D72C">
      <w:start w:val="3"/>
      <w:numFmt w:val="lowerLetter"/>
      <w:lvlText w:val="%1."/>
      <w:lvlJc w:val="left"/>
      <w:pPr>
        <w:tabs>
          <w:tab w:val="num" w:pos="720"/>
        </w:tabs>
        <w:ind w:left="720" w:hanging="360"/>
      </w:pPr>
    </w:lvl>
    <w:lvl w:ilvl="1" w:tplc="47A88FEA" w:tentative="1">
      <w:start w:val="1"/>
      <w:numFmt w:val="decimal"/>
      <w:lvlText w:val="%2."/>
      <w:lvlJc w:val="left"/>
      <w:pPr>
        <w:tabs>
          <w:tab w:val="num" w:pos="1440"/>
        </w:tabs>
        <w:ind w:left="1440" w:hanging="360"/>
      </w:pPr>
    </w:lvl>
    <w:lvl w:ilvl="2" w:tplc="7C80C210" w:tentative="1">
      <w:start w:val="1"/>
      <w:numFmt w:val="decimal"/>
      <w:lvlText w:val="%3."/>
      <w:lvlJc w:val="left"/>
      <w:pPr>
        <w:tabs>
          <w:tab w:val="num" w:pos="2160"/>
        </w:tabs>
        <w:ind w:left="2160" w:hanging="360"/>
      </w:pPr>
    </w:lvl>
    <w:lvl w:ilvl="3" w:tplc="8116D210" w:tentative="1">
      <w:start w:val="1"/>
      <w:numFmt w:val="decimal"/>
      <w:lvlText w:val="%4."/>
      <w:lvlJc w:val="left"/>
      <w:pPr>
        <w:tabs>
          <w:tab w:val="num" w:pos="2880"/>
        </w:tabs>
        <w:ind w:left="2880" w:hanging="360"/>
      </w:pPr>
    </w:lvl>
    <w:lvl w:ilvl="4" w:tplc="6828446E" w:tentative="1">
      <w:start w:val="1"/>
      <w:numFmt w:val="decimal"/>
      <w:lvlText w:val="%5."/>
      <w:lvlJc w:val="left"/>
      <w:pPr>
        <w:tabs>
          <w:tab w:val="num" w:pos="3600"/>
        </w:tabs>
        <w:ind w:left="3600" w:hanging="360"/>
      </w:pPr>
    </w:lvl>
    <w:lvl w:ilvl="5" w:tplc="909EA73A" w:tentative="1">
      <w:start w:val="1"/>
      <w:numFmt w:val="decimal"/>
      <w:lvlText w:val="%6."/>
      <w:lvlJc w:val="left"/>
      <w:pPr>
        <w:tabs>
          <w:tab w:val="num" w:pos="4320"/>
        </w:tabs>
        <w:ind w:left="4320" w:hanging="360"/>
      </w:pPr>
    </w:lvl>
    <w:lvl w:ilvl="6" w:tplc="D64A774A" w:tentative="1">
      <w:start w:val="1"/>
      <w:numFmt w:val="decimal"/>
      <w:lvlText w:val="%7."/>
      <w:lvlJc w:val="left"/>
      <w:pPr>
        <w:tabs>
          <w:tab w:val="num" w:pos="5040"/>
        </w:tabs>
        <w:ind w:left="5040" w:hanging="360"/>
      </w:pPr>
    </w:lvl>
    <w:lvl w:ilvl="7" w:tplc="EF6A3D2E" w:tentative="1">
      <w:start w:val="1"/>
      <w:numFmt w:val="decimal"/>
      <w:lvlText w:val="%8."/>
      <w:lvlJc w:val="left"/>
      <w:pPr>
        <w:tabs>
          <w:tab w:val="num" w:pos="5760"/>
        </w:tabs>
        <w:ind w:left="5760" w:hanging="360"/>
      </w:pPr>
    </w:lvl>
    <w:lvl w:ilvl="8" w:tplc="965831DE" w:tentative="1">
      <w:start w:val="1"/>
      <w:numFmt w:val="decimal"/>
      <w:lvlText w:val="%9."/>
      <w:lvlJc w:val="left"/>
      <w:pPr>
        <w:tabs>
          <w:tab w:val="num" w:pos="6480"/>
        </w:tabs>
        <w:ind w:left="6480" w:hanging="360"/>
      </w:pPr>
    </w:lvl>
  </w:abstractNum>
  <w:abstractNum w:abstractNumId="3" w15:restartNumberingAfterBreak="0">
    <w:nsid w:val="570F1014"/>
    <w:multiLevelType w:val="multilevel"/>
    <w:tmpl w:val="04C0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lvlOverride w:ilvl="0">
      <w:lvl w:ilvl="0">
        <w:numFmt w:val="lowerLetter"/>
        <w:lvlText w:val="%1."/>
        <w:lvlJc w:val="left"/>
      </w:lvl>
    </w:lvlOverride>
  </w:num>
  <w:num w:numId="3">
    <w:abstractNumId w:val="0"/>
    <w:lvlOverride w:ilvl="0">
      <w:lvl w:ilvl="0">
        <w:numFmt w:val="decimal"/>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C7"/>
    <w:rsid w:val="006175C7"/>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BD27"/>
  <w15:chartTrackingRefBased/>
  <w15:docId w15:val="{5C2CC200-569B-41E7-ACC5-991D6262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75C7"/>
  </w:style>
  <w:style w:type="character" w:styleId="Hyperlink">
    <w:name w:val="Hyperlink"/>
    <w:basedOn w:val="DefaultParagraphFont"/>
    <w:uiPriority w:val="99"/>
    <w:semiHidden/>
    <w:unhideWhenUsed/>
    <w:rsid w:val="00617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1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2020-12-01T11:03:00Z</dcterms:created>
  <dcterms:modified xsi:type="dcterms:W3CDTF">2020-12-01T11:03:00Z</dcterms:modified>
</cp:coreProperties>
</file>